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B763" w14:textId="40D90533" w:rsidR="00917EA5" w:rsidRPr="00917EA5" w:rsidRDefault="008B49CD" w:rsidP="00917EA5">
      <w:pPr>
        <w:rPr>
          <w:b/>
          <w:bCs/>
        </w:rPr>
      </w:pPr>
      <w:r w:rsidRPr="00917EA5">
        <w:rPr>
          <w:b/>
        </w:rPr>
        <w:t>Ergänzende Erklärungen zum Antrag auf Förderung aus dem Sonderförderprogramm „</w:t>
      </w:r>
      <w:r w:rsidR="00917EA5" w:rsidRPr="00917EA5">
        <w:rPr>
          <w:b/>
        </w:rPr>
        <w:t>Nachrüstung von Infektionsschutztrennwänden in ÖPNV-Bussen</w:t>
      </w:r>
      <w:r w:rsidRPr="00917EA5">
        <w:rPr>
          <w:b/>
        </w:rPr>
        <w:t xml:space="preserve">“ </w:t>
      </w:r>
      <w:r w:rsidR="00917EA5" w:rsidRPr="00917EA5">
        <w:rPr>
          <w:b/>
          <w:bCs/>
        </w:rPr>
        <w:t>Bekanntmachung des Bayerischen Staatsministeriums für Wohnen, Bau und Verkehr vom 12. Juni 2020, Az. 62-3524.19-2-1</w:t>
      </w:r>
    </w:p>
    <w:p w14:paraId="3D918A22" w14:textId="3A7FDFA0" w:rsidR="00346251" w:rsidRDefault="008B49CD">
      <w:r>
        <w:t xml:space="preserve"> </w:t>
      </w:r>
    </w:p>
    <w:p w14:paraId="5292CF03" w14:textId="153B4722" w:rsidR="008B49CD" w:rsidRDefault="008B49CD">
      <w:r>
        <w:t>Des / der (Antragsteller):</w:t>
      </w:r>
    </w:p>
    <w:p w14:paraId="61B746AC" w14:textId="144067C6" w:rsidR="008B49CD" w:rsidRDefault="008B49CD" w:rsidP="008B49CD">
      <w:pPr>
        <w:tabs>
          <w:tab w:val="left" w:pos="5360"/>
        </w:tabs>
        <w:rPr>
          <w:rFonts w:ascii="Arial" w:hAnsi="Arial" w:cs="Arial"/>
          <w:b/>
          <w:color w:val="131118"/>
          <w:w w:val="95"/>
          <w:sz w:val="20"/>
          <w:szCs w:val="20"/>
        </w:rPr>
      </w:pPr>
      <w:r>
        <w:rPr>
          <w:rFonts w:ascii="Arial" w:hAnsi="Arial" w:cs="Arial"/>
          <w:b/>
          <w:color w:val="131118"/>
          <w:w w:val="95"/>
          <w:sz w:val="20"/>
          <w:szCs w:val="20"/>
        </w:rPr>
        <w:t>________________________________________</w:t>
      </w:r>
    </w:p>
    <w:p w14:paraId="74605728" w14:textId="0C3B8057" w:rsidR="008B49CD" w:rsidRPr="00F07307" w:rsidRDefault="008B49CD" w:rsidP="008B49CD">
      <w:pPr>
        <w:tabs>
          <w:tab w:val="left" w:pos="5360"/>
        </w:tabs>
        <w:rPr>
          <w:rFonts w:ascii="Arial" w:hAnsi="Arial" w:cs="Arial"/>
          <w:b/>
          <w:color w:val="131118"/>
          <w:w w:val="95"/>
          <w:sz w:val="20"/>
          <w:szCs w:val="20"/>
        </w:rPr>
      </w:pPr>
      <w:r w:rsidRPr="00F07307">
        <w:rPr>
          <w:rFonts w:ascii="Arial" w:hAnsi="Arial" w:cs="Arial"/>
          <w:b/>
          <w:color w:val="131118"/>
          <w:w w:val="95"/>
          <w:sz w:val="20"/>
          <w:szCs w:val="20"/>
        </w:rPr>
        <w:t>Name, Vorname, Firma</w:t>
      </w:r>
    </w:p>
    <w:p w14:paraId="2EFC9A56" w14:textId="0120078C" w:rsidR="008B49CD" w:rsidRPr="00F07307" w:rsidRDefault="008B49CD" w:rsidP="008B49CD">
      <w:pPr>
        <w:tabs>
          <w:tab w:val="left" w:pos="5360"/>
        </w:tabs>
        <w:rPr>
          <w:rFonts w:ascii="Arial" w:hAnsi="Arial" w:cs="Arial"/>
          <w:b/>
          <w:color w:val="131118"/>
          <w:w w:val="95"/>
          <w:sz w:val="20"/>
          <w:szCs w:val="20"/>
        </w:rPr>
      </w:pPr>
      <w:r>
        <w:rPr>
          <w:rFonts w:ascii="Arial" w:hAnsi="Arial" w:cs="Arial"/>
          <w:b/>
          <w:color w:val="131118"/>
          <w:w w:val="95"/>
          <w:sz w:val="20"/>
          <w:szCs w:val="20"/>
        </w:rPr>
        <w:t>________________________________________</w:t>
      </w:r>
    </w:p>
    <w:p w14:paraId="2BB99203" w14:textId="77777777" w:rsidR="008B49CD" w:rsidRPr="00F07307" w:rsidRDefault="008B49CD" w:rsidP="008B49CD">
      <w:pPr>
        <w:tabs>
          <w:tab w:val="left" w:pos="5360"/>
        </w:tabs>
        <w:rPr>
          <w:rFonts w:ascii="Arial" w:hAnsi="Arial" w:cs="Arial"/>
          <w:b/>
          <w:color w:val="131118"/>
          <w:w w:val="95"/>
          <w:sz w:val="20"/>
          <w:szCs w:val="20"/>
        </w:rPr>
      </w:pPr>
      <w:r w:rsidRPr="00F07307">
        <w:rPr>
          <w:rFonts w:ascii="Arial" w:hAnsi="Arial" w:cs="Arial"/>
          <w:b/>
          <w:color w:val="131118"/>
          <w:w w:val="95"/>
          <w:sz w:val="20"/>
          <w:szCs w:val="20"/>
        </w:rPr>
        <w:t>Straße, Hausnummer</w:t>
      </w:r>
    </w:p>
    <w:p w14:paraId="71A8561A" w14:textId="33408917" w:rsidR="00EB0AF8" w:rsidRPr="00F07307" w:rsidRDefault="008B49CD" w:rsidP="008B49CD">
      <w:pPr>
        <w:tabs>
          <w:tab w:val="left" w:pos="5360"/>
        </w:tabs>
        <w:rPr>
          <w:rFonts w:ascii="Arial" w:hAnsi="Arial" w:cs="Arial"/>
          <w:b/>
          <w:color w:val="131118"/>
          <w:w w:val="95"/>
          <w:sz w:val="20"/>
          <w:szCs w:val="20"/>
        </w:rPr>
      </w:pPr>
      <w:r>
        <w:rPr>
          <w:rFonts w:ascii="Arial" w:hAnsi="Arial" w:cs="Arial"/>
          <w:b/>
          <w:color w:val="131118"/>
          <w:w w:val="95"/>
          <w:sz w:val="20"/>
          <w:szCs w:val="20"/>
        </w:rPr>
        <w:t>________________________________________</w:t>
      </w:r>
    </w:p>
    <w:p w14:paraId="3E1444A5" w14:textId="4DD807FA" w:rsidR="008B49CD" w:rsidRDefault="008B49CD" w:rsidP="008B49CD">
      <w:pPr>
        <w:rPr>
          <w:rFonts w:ascii="Arial" w:hAnsi="Arial" w:cs="Arial"/>
          <w:b/>
          <w:color w:val="131118"/>
          <w:w w:val="95"/>
          <w:sz w:val="20"/>
          <w:szCs w:val="20"/>
        </w:rPr>
      </w:pPr>
      <w:r w:rsidRPr="00F07307">
        <w:rPr>
          <w:rFonts w:ascii="Arial" w:hAnsi="Arial" w:cs="Arial"/>
          <w:b/>
          <w:color w:val="131118"/>
          <w:w w:val="95"/>
          <w:sz w:val="20"/>
          <w:szCs w:val="20"/>
        </w:rPr>
        <w:t>PLZ Ort</w:t>
      </w:r>
    </w:p>
    <w:p w14:paraId="176018CA" w14:textId="5CA3BBDF" w:rsidR="00EB0AF8" w:rsidRDefault="00EB0AF8" w:rsidP="008B49CD">
      <w:pPr>
        <w:rPr>
          <w:rFonts w:ascii="Arial" w:hAnsi="Arial" w:cs="Arial"/>
          <w:b/>
          <w:color w:val="131118"/>
          <w:w w:val="95"/>
          <w:sz w:val="20"/>
          <w:szCs w:val="20"/>
        </w:rPr>
      </w:pPr>
    </w:p>
    <w:p w14:paraId="7E7FA388" w14:textId="74E7AA47" w:rsidR="00EB0AF8" w:rsidRPr="00EB0AF8" w:rsidRDefault="00EB0AF8" w:rsidP="00EB0AF8">
      <w:pPr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</w:pPr>
      <w:r w:rsidRPr="00EB0AF8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 xml:space="preserve">Ich/wir versichere/n hiermit, dass mein/unser Unternehmen </w:t>
      </w:r>
      <w:r w:rsidR="00917EA5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 xml:space="preserve">zum Stichtag 31.12.2019 </w:t>
      </w:r>
      <w:r w:rsidRPr="00EB0AF8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>kein Unternehmen in Schwierigkeiten im Sinne de</w:t>
      </w:r>
      <w:r w:rsidR="00E632B5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>s</w:t>
      </w:r>
      <w:r w:rsidRPr="00EB0AF8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 xml:space="preserve"> </w:t>
      </w:r>
      <w:r w:rsidR="00E632B5" w:rsidRPr="00E632B5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 xml:space="preserve">Art. 2 Abs. 18 der Allgemeinen Gruppenfreistellungsverordnung </w:t>
      </w:r>
      <w:r w:rsidRPr="00EB0AF8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>ist.</w:t>
      </w:r>
    </w:p>
    <w:p w14:paraId="7BEE9341" w14:textId="55CB254A" w:rsidR="008B49CD" w:rsidRDefault="00EB0AF8">
      <w:r w:rsidRPr="00EB0AF8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>Über das Vermögen meines/unseres Unterneh</w:t>
      </w:r>
      <w:r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>men</w:t>
      </w:r>
      <w:r w:rsidRPr="00EB0AF8">
        <w:rPr>
          <w:rFonts w:ascii="Arial" w:hAnsi="Arial" w:cs="Arial"/>
          <w:b/>
          <w:color w:val="131118"/>
          <w:w w:val="95"/>
          <w:sz w:val="20"/>
          <w:szCs w:val="20"/>
          <w:lang w:val="en-US"/>
        </w:rPr>
        <w:t>s ist zudem kein Insolvenz- oder ein vergleichba­ res Verfahren beantragt oder eröffnet worden. Gleiches gilt für die Verpflichtung zur Abgabe oder Abnahme einer Vermögensauskunft nach§ 802 c Zivilprozessordnung (ZPO) oder§ 284 Abgaben­ ordnung (AO).</w:t>
      </w:r>
    </w:p>
    <w:p w14:paraId="5E9AD08D" w14:textId="77777777" w:rsidR="00EB0AF8" w:rsidRPr="00EB0AF8" w:rsidRDefault="00EB0AF8" w:rsidP="00EB0AF8">
      <w:pPr>
        <w:rPr>
          <w:b/>
          <w:lang w:val="en-US"/>
        </w:rPr>
      </w:pPr>
      <w:r w:rsidRPr="00EB0AF8">
        <w:rPr>
          <w:b/>
          <w:lang w:val="en-US"/>
        </w:rPr>
        <w:t>Definition "Unternehmen in Schwierigkeiten"</w:t>
      </w:r>
    </w:p>
    <w:p w14:paraId="3B353B0D" w14:textId="6963C2AD" w:rsidR="00E632B5" w:rsidRPr="00E632B5" w:rsidRDefault="00E632B5" w:rsidP="00E632B5">
      <w:pPr>
        <w:rPr>
          <w:lang w:val="en-US"/>
        </w:rPr>
      </w:pPr>
      <w:r w:rsidRPr="00E632B5">
        <w:rPr>
          <w:lang w:val="en-US"/>
        </w:rPr>
        <w:t>Unternehmen, auf das mindestens einer der folgenden Umstände zutrifft:</w:t>
      </w:r>
    </w:p>
    <w:p w14:paraId="0E405F5D" w14:textId="17538299" w:rsidR="00E632B5" w:rsidRPr="00E632B5" w:rsidRDefault="00E94C3D" w:rsidP="00E94C3D">
      <w:pPr>
        <w:ind w:left="567" w:hanging="567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="00E632B5" w:rsidRPr="00E632B5">
        <w:rPr>
          <w:lang w:val="en-US"/>
        </w:rPr>
        <w:t>Im Falle von Gesellschaften mit beschränkter Haftung (ausgenommen KMU, die noch keine drei Jahre bestehen,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und — in Bezug auf Risikofinanzierungsbeihilfen — KMU in den sieben Jahren nach ihrem ersten kommerziellen Verkauf, die nach einer Due-Diligence-Prüfung durch den ausgewählten Finanzintermediär für Risikofinanzierungen in Frage kommen): Mehr als die Hälfte des gezeichneten Stammkapitals ist infolge aufgelaufener Verluste verlorengegangen. Dies ist der Fall, wenn sich nach Abzug der aufgelaufenen Verluste von den Rücklagen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(und allen sonstigen Elementen, die im Allgemeinen den Eigenmitteln des Unternehmens zugerechnet werden)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ein negativer kumulativer Betrag ergibt, der mehr als der Hälfte des gezeichneten Stammkapitals entspricht.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Für die Zwecke dieser Bestimmung bezieht sich der Begriff „Gesellschaft mit beschränkter Haftung“ insbesondere auf die in Anhang I der Richtlinie 2013/34/EU (1) genannten Arten von Unternehmen und der Begriff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„Stammkapital“ umfasst gegebenenfalls alle Agios.</w:t>
      </w:r>
    </w:p>
    <w:p w14:paraId="00A93E3F" w14:textId="7C4E088B" w:rsidR="00E632B5" w:rsidRPr="00E632B5" w:rsidRDefault="00E94C3D" w:rsidP="00E94C3D">
      <w:pPr>
        <w:ind w:left="567" w:hanging="567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="00E632B5" w:rsidRPr="00E632B5">
        <w:rPr>
          <w:lang w:val="en-US"/>
        </w:rPr>
        <w:t>Im Falle von Gesellschaften, bei denen zumindest einige Gesellschafter unbeschränkt für die Schulden der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Gesellschaft haften (ausgenommen KMU, die noch keine drei Jahre bestehen, und — in Bezug auf Risikofinanzierungsbeihilfen — KMU in den sieben Jahren nach ihrem ersten kommerziellen Verkauf, die nach einer DueDiligence-Prüfung durch den ausgewählten Finanzintermediär für Risikofinanzierungen in Frage kommen):</w:t>
      </w:r>
    </w:p>
    <w:p w14:paraId="4A04E98C" w14:textId="35855F4C" w:rsidR="00E632B5" w:rsidRPr="00E632B5" w:rsidRDefault="00E632B5" w:rsidP="00E94C3D">
      <w:pPr>
        <w:ind w:left="567"/>
        <w:rPr>
          <w:lang w:val="en-US"/>
        </w:rPr>
      </w:pPr>
      <w:r w:rsidRPr="00E632B5">
        <w:rPr>
          <w:lang w:val="en-US"/>
        </w:rPr>
        <w:lastRenderedPageBreak/>
        <w:t>Mehr als die Hälfte der in den Geschäftsbüchern ausgewiesenen Eigenmittel ist infolge aufgelaufener Verluste</w:t>
      </w:r>
      <w:r>
        <w:rPr>
          <w:lang w:val="en-US"/>
        </w:rPr>
        <w:t xml:space="preserve"> </w:t>
      </w:r>
      <w:r w:rsidRPr="00E632B5">
        <w:rPr>
          <w:lang w:val="en-US"/>
        </w:rPr>
        <w:t>verlorengegangen. Für die Zwecke dieser Bestimmung bezieht sich der Begriff „Gesellschaften, bei denen</w:t>
      </w:r>
      <w:r>
        <w:rPr>
          <w:lang w:val="en-US"/>
        </w:rPr>
        <w:t xml:space="preserve"> </w:t>
      </w:r>
      <w:r w:rsidRPr="00E632B5">
        <w:rPr>
          <w:lang w:val="en-US"/>
        </w:rPr>
        <w:t>zumindest einige Gesellschafter unbeschränkt für die Schulden der Gesellschaft haften“ insbesondere auf die in</w:t>
      </w:r>
      <w:r>
        <w:rPr>
          <w:lang w:val="en-US"/>
        </w:rPr>
        <w:t xml:space="preserve"> </w:t>
      </w:r>
      <w:r w:rsidRPr="00E632B5">
        <w:rPr>
          <w:lang w:val="en-US"/>
        </w:rPr>
        <w:t>Anhang II der Richtlinie 2013/34/EU genannten Arten von Unternehmen.</w:t>
      </w:r>
    </w:p>
    <w:p w14:paraId="39807FC5" w14:textId="4E4B330E" w:rsidR="00E632B5" w:rsidRPr="00E632B5" w:rsidRDefault="00E94C3D" w:rsidP="00E94C3D">
      <w:pPr>
        <w:ind w:left="567" w:hanging="567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 w:rsidR="00E632B5" w:rsidRPr="00E632B5">
        <w:rPr>
          <w:lang w:val="en-US"/>
        </w:rPr>
        <w:t>Das Unternehmen ist Gegenstand eines Insolvenzverfahrens oder erfüllt die im innerstaatlichen Recht vorgesehenen Voraussetzungen für die Eröffnung eines Insolvenzverfahrens auf Antrag seiner Gläubiger.</w:t>
      </w:r>
    </w:p>
    <w:p w14:paraId="0561C290" w14:textId="2243D5D8" w:rsidR="00E632B5" w:rsidRPr="00E632B5" w:rsidRDefault="00E94C3D" w:rsidP="00E94C3D">
      <w:pPr>
        <w:ind w:left="567" w:hanging="567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 w:rsidR="00E632B5" w:rsidRPr="00E632B5">
        <w:rPr>
          <w:lang w:val="en-US"/>
        </w:rPr>
        <w:t>Das Unternehmen hat eine Rettungsbeihilfe erhalten und der Kredit wurde noch nicht zurückgezahlt oder die</w:t>
      </w:r>
      <w:r w:rsidR="00E632B5">
        <w:rPr>
          <w:lang w:val="en-US"/>
        </w:rPr>
        <w:t xml:space="preserve"> </w:t>
      </w:r>
      <w:r w:rsidR="00E632B5" w:rsidRPr="00E632B5">
        <w:rPr>
          <w:lang w:val="en-US"/>
        </w:rPr>
        <w:t>Garantie ist noch nicht erloschen beziehungsweise das Unternehmen hat eine Umstrukturierungsbeihilfe erhalten und unterliegt immer noch einem Umstrukturierungsplan.</w:t>
      </w:r>
    </w:p>
    <w:p w14:paraId="1271D486" w14:textId="0F87B237" w:rsidR="00E632B5" w:rsidRPr="00E632B5" w:rsidRDefault="00E94C3D" w:rsidP="00E94C3D">
      <w:pPr>
        <w:ind w:left="567" w:hanging="567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r w:rsidR="00E632B5" w:rsidRPr="00E632B5">
        <w:rPr>
          <w:lang w:val="en-US"/>
        </w:rPr>
        <w:t>Im Falle eines Unternehmens, das kein KMU ist: In den letzten beiden Jahren</w:t>
      </w:r>
    </w:p>
    <w:p w14:paraId="33F2D3B9" w14:textId="77777777" w:rsidR="00E632B5" w:rsidRPr="00E632B5" w:rsidRDefault="00E632B5" w:rsidP="00E94C3D">
      <w:pPr>
        <w:ind w:firstLine="567"/>
        <w:rPr>
          <w:lang w:val="en-US"/>
        </w:rPr>
      </w:pPr>
      <w:r w:rsidRPr="00E632B5">
        <w:rPr>
          <w:lang w:val="en-US"/>
        </w:rPr>
        <w:t>1. betrug der buchwertbasierte Verschuldungsgrad des Unternehmens mehr als 7,5 und</w:t>
      </w:r>
    </w:p>
    <w:p w14:paraId="07FDFBC6" w14:textId="7F5B4050" w:rsidR="00EB0AF8" w:rsidRDefault="00E632B5" w:rsidP="00E94C3D">
      <w:pPr>
        <w:ind w:firstLine="567"/>
      </w:pPr>
      <w:r w:rsidRPr="00E632B5">
        <w:rPr>
          <w:lang w:val="en-US"/>
        </w:rPr>
        <w:t>2. das anhand des EBITDA berechnete Zinsdeckungsverhältnis</w:t>
      </w:r>
      <w:r w:rsidR="005B4A97">
        <w:rPr>
          <w:lang w:val="en-US"/>
        </w:rPr>
        <w:t xml:space="preserve"> des Unternehmens lag unter 1,0.</w:t>
      </w:r>
    </w:p>
    <w:p w14:paraId="1997209F" w14:textId="77777777" w:rsidR="00E94C3D" w:rsidRDefault="00E94C3D" w:rsidP="00EB0AF8"/>
    <w:p w14:paraId="0FB58C69" w14:textId="76C5B3FE" w:rsidR="00EB0AF8" w:rsidRDefault="00EB0AF8" w:rsidP="00EB0AF8">
      <w:r>
        <w:t>Weiterhin erkläre/n ich/wir:</w:t>
      </w:r>
    </w:p>
    <w:p w14:paraId="3E6A656F" w14:textId="6B0B4997" w:rsidR="00EB0AF8" w:rsidRDefault="00EB0AF8" w:rsidP="00EB0AF8">
      <w:r>
        <w:t xml:space="preserve">Neben der hier beantragten Zuwendung </w:t>
      </w:r>
      <w:r w:rsidR="005B4A97">
        <w:t>habe ich / haben wir</w:t>
      </w:r>
      <w:r>
        <w:t xml:space="preserve"> folgende weiteren </w:t>
      </w:r>
      <w:r w:rsidRPr="002F28AD">
        <w:rPr>
          <w:b/>
        </w:rPr>
        <w:t xml:space="preserve">Beihilfen </w:t>
      </w:r>
      <w:r w:rsidR="005B4A97" w:rsidRPr="002F28AD">
        <w:rPr>
          <w:b/>
        </w:rPr>
        <w:t>nach der (Geänderten) Bundesregelung Kleinbeihilfen 2020</w:t>
      </w:r>
      <w:r w:rsidR="005B4A97" w:rsidRPr="005B4A97">
        <w:t xml:space="preserve"> erhalten</w:t>
      </w:r>
      <w:r w:rsidR="005B4A97">
        <w:t xml:space="preserve"> oder beantragt</w:t>
      </w:r>
      <w:r w:rsidR="002F28AD">
        <w:t>:</w:t>
      </w:r>
      <w:r w:rsidR="005B4A97">
        <w:t xml:space="preserve"> </w:t>
      </w:r>
    </w:p>
    <w:p w14:paraId="3DDE3AD8" w14:textId="6DA979A7" w:rsidR="00EB0AF8" w:rsidRDefault="002F28AD" w:rsidP="00EB0AF8">
      <w:r>
        <w:t>□</w:t>
      </w:r>
      <w:r>
        <w:tab/>
      </w:r>
      <w:r w:rsidR="00EB0AF8">
        <w:t>keine</w:t>
      </w:r>
    </w:p>
    <w:p w14:paraId="11844D02" w14:textId="189FBC9F" w:rsidR="00EB0AF8" w:rsidRDefault="002F28AD" w:rsidP="00EB0AF8">
      <w:r>
        <w:t>□</w:t>
      </w:r>
      <w:r>
        <w:tab/>
        <w:t xml:space="preserve">folgende </w:t>
      </w:r>
      <w:r w:rsidR="00EB0AF8">
        <w:t>andere Zuwendungen (bitte erläutern ggf. auf Anhang)</w:t>
      </w:r>
    </w:p>
    <w:p w14:paraId="1B8B05B8" w14:textId="77777777" w:rsidR="00EB0AF8" w:rsidRDefault="00EB0AF8" w:rsidP="00EB0AF8">
      <w:r>
        <w:t xml:space="preserve">Erläuterungen: </w:t>
      </w:r>
    </w:p>
    <w:p w14:paraId="3F671BF7" w14:textId="14553110" w:rsidR="00EB0AF8" w:rsidRDefault="00EB0AF8" w:rsidP="00EB0AF8"/>
    <w:p w14:paraId="2348017D" w14:textId="1C6DE79D" w:rsidR="002F28AD" w:rsidRDefault="002F28AD" w:rsidP="00EB0AF8"/>
    <w:p w14:paraId="3F5B2549" w14:textId="26B244A7" w:rsidR="002F28AD" w:rsidRDefault="002F28AD" w:rsidP="00EB0AF8"/>
    <w:p w14:paraId="20007A0F" w14:textId="77777777" w:rsidR="002F28AD" w:rsidRDefault="002F28AD" w:rsidP="00EB0AF8"/>
    <w:p w14:paraId="2B130936" w14:textId="77777777" w:rsidR="002F28AD" w:rsidRDefault="002F28AD" w:rsidP="002F28AD">
      <w:r w:rsidRPr="005B4A97">
        <w:t>Der Schwellenwert von 800.000 Euro ist daher nicht überschritten</w:t>
      </w:r>
      <w:r>
        <w:t xml:space="preserve">. </w:t>
      </w:r>
    </w:p>
    <w:p w14:paraId="71A8AE71" w14:textId="77777777" w:rsidR="00EB0AF8" w:rsidRDefault="00EB0AF8" w:rsidP="00EB0AF8"/>
    <w:p w14:paraId="5F3B42BE" w14:textId="77777777" w:rsidR="00EB0AF8" w:rsidRPr="00EB0AF8" w:rsidRDefault="00EB0AF8" w:rsidP="00EB0AF8">
      <w:pPr>
        <w:rPr>
          <w:lang w:bidi="de-DE"/>
        </w:rPr>
      </w:pPr>
      <w:r w:rsidRPr="00EB0AF8">
        <w:rPr>
          <w:lang w:bidi="de-DE"/>
        </w:rPr>
        <w:t>Die Voraussetzungen für die ordnungsgemäße und sichere Verwendung der im Antrag bezeichneten Trennscheiben liegen vor. Insbesondere sind alle Genehmigungen und Abnahmen, die für die Ver- wendung der Trennscheiben im Straßenverkehr erforderlich sind, eingeholt worden und können bei Bedarf vorgelegt werden.</w:t>
      </w:r>
    </w:p>
    <w:p w14:paraId="6F390B7A" w14:textId="77777777" w:rsidR="00EB0AF8" w:rsidRDefault="00EB0AF8" w:rsidP="00EB0AF8"/>
    <w:p w14:paraId="71E1E5D3" w14:textId="04D765CE" w:rsidR="008B49CD" w:rsidRDefault="00EB0AF8" w:rsidP="00EB0AF8">
      <w:r>
        <w:lastRenderedPageBreak/>
        <w:t>Mir/uns ist bekannt, dass die hier abgegebenen Erklärungen</w:t>
      </w:r>
      <w:bookmarkStart w:id="0" w:name="_GoBack"/>
      <w:bookmarkEnd w:id="0"/>
      <w:r>
        <w:t xml:space="preserve"> subventionserhebliche Tatsachen i.S.d. § 264 StGB darstellen und falsche Angaben strafrechtliche Konsequenzen haben können.</w:t>
      </w:r>
    </w:p>
    <w:p w14:paraId="61DEA41E" w14:textId="77777777" w:rsidR="00C406D2" w:rsidRDefault="00C406D2" w:rsidP="00EB0AF8"/>
    <w:p w14:paraId="2181E18F" w14:textId="300A48B6" w:rsidR="008B49CD" w:rsidRDefault="008B49CD"/>
    <w:p w14:paraId="15943D05" w14:textId="72F5A68E" w:rsidR="00EB0AF8" w:rsidRDefault="00EB0AF8"/>
    <w:p w14:paraId="55038933" w14:textId="70812DDB" w:rsidR="00EB0AF8" w:rsidRDefault="008F402D">
      <w:r>
        <w:t>____________________________</w:t>
      </w:r>
      <w:r>
        <w:tab/>
      </w:r>
      <w:r>
        <w:tab/>
        <w:t>____________________________________________</w:t>
      </w:r>
    </w:p>
    <w:p w14:paraId="26C92C56" w14:textId="6EC29EC8" w:rsidR="008F402D" w:rsidRPr="008F402D" w:rsidRDefault="008F402D">
      <w:pPr>
        <w:rPr>
          <w:sz w:val="18"/>
          <w:szCs w:val="18"/>
        </w:rPr>
      </w:pPr>
      <w:r w:rsidRPr="008F402D">
        <w:rPr>
          <w:sz w:val="18"/>
          <w:szCs w:val="18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 w:rsidRPr="008F402D">
        <w:rPr>
          <w:sz w:val="18"/>
          <w:szCs w:val="18"/>
        </w:rPr>
        <w:t>rechtsverbindliche Unterschrift des / der Bevollmächtigten</w:t>
      </w:r>
    </w:p>
    <w:p w14:paraId="7BE3E2E0" w14:textId="77777777" w:rsidR="008F402D" w:rsidRDefault="008F402D" w:rsidP="00EB0AF8">
      <w:pPr>
        <w:rPr>
          <w:b/>
          <w:highlight w:val="yellow"/>
          <w:lang w:bidi="de-DE"/>
        </w:rPr>
      </w:pPr>
    </w:p>
    <w:p w14:paraId="10BEACB8" w14:textId="77777777" w:rsidR="00EB0AF8" w:rsidRDefault="00EB0AF8"/>
    <w:sectPr w:rsidR="00EB0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5C9"/>
    <w:multiLevelType w:val="hybridMultilevel"/>
    <w:tmpl w:val="EBE07132"/>
    <w:lvl w:ilvl="0" w:tplc="F9980622">
      <w:start w:val="1"/>
      <w:numFmt w:val="lowerLetter"/>
      <w:lvlText w:val="%1)"/>
      <w:lvlJc w:val="left"/>
      <w:pPr>
        <w:ind w:left="533" w:hanging="349"/>
      </w:pPr>
      <w:rPr>
        <w:rFonts w:ascii="Times New Roman" w:eastAsia="Times New Roman" w:hAnsi="Times New Roman" w:cs="Times New Roman" w:hint="default"/>
        <w:color w:val="16151A"/>
        <w:spacing w:val="-1"/>
        <w:w w:val="92"/>
        <w:sz w:val="22"/>
        <w:szCs w:val="22"/>
      </w:rPr>
    </w:lvl>
    <w:lvl w:ilvl="1" w:tplc="982EB542">
      <w:start w:val="1"/>
      <w:numFmt w:val="lowerRoman"/>
      <w:lvlText w:val="%2."/>
      <w:lvlJc w:val="left"/>
      <w:pPr>
        <w:ind w:left="1236" w:hanging="447"/>
      </w:pPr>
      <w:rPr>
        <w:rFonts w:hint="default"/>
        <w:spacing w:val="-1"/>
        <w:w w:val="95"/>
      </w:rPr>
    </w:lvl>
    <w:lvl w:ilvl="2" w:tplc="1B96AE5A">
      <w:numFmt w:val="bullet"/>
      <w:lvlText w:val="•"/>
      <w:lvlJc w:val="left"/>
      <w:pPr>
        <w:ind w:left="2093" w:hanging="447"/>
      </w:pPr>
      <w:rPr>
        <w:rFonts w:hint="default"/>
      </w:rPr>
    </w:lvl>
    <w:lvl w:ilvl="3" w:tplc="53A2D416">
      <w:numFmt w:val="bullet"/>
      <w:lvlText w:val="•"/>
      <w:lvlJc w:val="left"/>
      <w:pPr>
        <w:ind w:left="2946" w:hanging="447"/>
      </w:pPr>
      <w:rPr>
        <w:rFonts w:hint="default"/>
      </w:rPr>
    </w:lvl>
    <w:lvl w:ilvl="4" w:tplc="0624D2C8">
      <w:numFmt w:val="bullet"/>
      <w:lvlText w:val="•"/>
      <w:lvlJc w:val="left"/>
      <w:pPr>
        <w:ind w:left="3800" w:hanging="447"/>
      </w:pPr>
      <w:rPr>
        <w:rFonts w:hint="default"/>
      </w:rPr>
    </w:lvl>
    <w:lvl w:ilvl="5" w:tplc="D578F4CE">
      <w:numFmt w:val="bullet"/>
      <w:lvlText w:val="•"/>
      <w:lvlJc w:val="left"/>
      <w:pPr>
        <w:ind w:left="4653" w:hanging="447"/>
      </w:pPr>
      <w:rPr>
        <w:rFonts w:hint="default"/>
      </w:rPr>
    </w:lvl>
    <w:lvl w:ilvl="6" w:tplc="3DFA1E7C">
      <w:numFmt w:val="bullet"/>
      <w:lvlText w:val="•"/>
      <w:lvlJc w:val="left"/>
      <w:pPr>
        <w:ind w:left="5506" w:hanging="447"/>
      </w:pPr>
      <w:rPr>
        <w:rFonts w:hint="default"/>
      </w:rPr>
    </w:lvl>
    <w:lvl w:ilvl="7" w:tplc="D8003014">
      <w:numFmt w:val="bullet"/>
      <w:lvlText w:val="•"/>
      <w:lvlJc w:val="left"/>
      <w:pPr>
        <w:ind w:left="6360" w:hanging="447"/>
      </w:pPr>
      <w:rPr>
        <w:rFonts w:hint="default"/>
      </w:rPr>
    </w:lvl>
    <w:lvl w:ilvl="8" w:tplc="ED6A99CE">
      <w:numFmt w:val="bullet"/>
      <w:lvlText w:val="•"/>
      <w:lvlJc w:val="left"/>
      <w:pPr>
        <w:ind w:left="7213" w:hanging="447"/>
      </w:pPr>
      <w:rPr>
        <w:rFonts w:hint="default"/>
      </w:rPr>
    </w:lvl>
  </w:abstractNum>
  <w:abstractNum w:abstractNumId="1" w15:restartNumberingAfterBreak="0">
    <w:nsid w:val="2DA84596"/>
    <w:multiLevelType w:val="hybridMultilevel"/>
    <w:tmpl w:val="B5262350"/>
    <w:lvl w:ilvl="0" w:tplc="3516EBF6">
      <w:numFmt w:val="bullet"/>
      <w:lvlText w:val="-"/>
      <w:lvlJc w:val="left"/>
      <w:pPr>
        <w:ind w:left="562" w:hanging="113"/>
      </w:pPr>
      <w:rPr>
        <w:rFonts w:ascii="Arial" w:eastAsia="Arial" w:hAnsi="Arial" w:cs="Arial" w:hint="default"/>
        <w:w w:val="100"/>
        <w:sz w:val="18"/>
        <w:szCs w:val="18"/>
        <w:lang w:val="de-DE" w:eastAsia="de-DE" w:bidi="de-DE"/>
      </w:rPr>
    </w:lvl>
    <w:lvl w:ilvl="1" w:tplc="E7542EB8">
      <w:numFmt w:val="bullet"/>
      <w:lvlText w:val=""/>
      <w:lvlJc w:val="left"/>
      <w:pPr>
        <w:ind w:left="965" w:hanging="363"/>
      </w:pPr>
      <w:rPr>
        <w:rFonts w:ascii="Symbol" w:eastAsia="Symbol" w:hAnsi="Symbol" w:cs="Symbol" w:hint="default"/>
        <w:w w:val="101"/>
        <w:sz w:val="22"/>
        <w:szCs w:val="22"/>
        <w:lang w:val="de-DE" w:eastAsia="de-DE" w:bidi="de-DE"/>
      </w:rPr>
    </w:lvl>
    <w:lvl w:ilvl="2" w:tplc="9B60421C">
      <w:numFmt w:val="bullet"/>
      <w:lvlText w:val="•"/>
      <w:lvlJc w:val="left"/>
      <w:pPr>
        <w:ind w:left="1931" w:hanging="363"/>
      </w:pPr>
      <w:rPr>
        <w:rFonts w:hint="default"/>
        <w:lang w:val="de-DE" w:eastAsia="de-DE" w:bidi="de-DE"/>
      </w:rPr>
    </w:lvl>
    <w:lvl w:ilvl="3" w:tplc="BD6E9E82">
      <w:numFmt w:val="bullet"/>
      <w:lvlText w:val="•"/>
      <w:lvlJc w:val="left"/>
      <w:pPr>
        <w:ind w:left="2903" w:hanging="363"/>
      </w:pPr>
      <w:rPr>
        <w:rFonts w:hint="default"/>
        <w:lang w:val="de-DE" w:eastAsia="de-DE" w:bidi="de-DE"/>
      </w:rPr>
    </w:lvl>
    <w:lvl w:ilvl="4" w:tplc="8532783C">
      <w:numFmt w:val="bullet"/>
      <w:lvlText w:val="•"/>
      <w:lvlJc w:val="left"/>
      <w:pPr>
        <w:ind w:left="3875" w:hanging="363"/>
      </w:pPr>
      <w:rPr>
        <w:rFonts w:hint="default"/>
        <w:lang w:val="de-DE" w:eastAsia="de-DE" w:bidi="de-DE"/>
      </w:rPr>
    </w:lvl>
    <w:lvl w:ilvl="5" w:tplc="33CCA7B2">
      <w:numFmt w:val="bullet"/>
      <w:lvlText w:val="•"/>
      <w:lvlJc w:val="left"/>
      <w:pPr>
        <w:ind w:left="4847" w:hanging="363"/>
      </w:pPr>
      <w:rPr>
        <w:rFonts w:hint="default"/>
        <w:lang w:val="de-DE" w:eastAsia="de-DE" w:bidi="de-DE"/>
      </w:rPr>
    </w:lvl>
    <w:lvl w:ilvl="6" w:tplc="F6244730">
      <w:numFmt w:val="bullet"/>
      <w:lvlText w:val="•"/>
      <w:lvlJc w:val="left"/>
      <w:pPr>
        <w:ind w:left="5819" w:hanging="363"/>
      </w:pPr>
      <w:rPr>
        <w:rFonts w:hint="default"/>
        <w:lang w:val="de-DE" w:eastAsia="de-DE" w:bidi="de-DE"/>
      </w:rPr>
    </w:lvl>
    <w:lvl w:ilvl="7" w:tplc="83E6857A">
      <w:numFmt w:val="bullet"/>
      <w:lvlText w:val="•"/>
      <w:lvlJc w:val="left"/>
      <w:pPr>
        <w:ind w:left="6790" w:hanging="363"/>
      </w:pPr>
      <w:rPr>
        <w:rFonts w:hint="default"/>
        <w:lang w:val="de-DE" w:eastAsia="de-DE" w:bidi="de-DE"/>
      </w:rPr>
    </w:lvl>
    <w:lvl w:ilvl="8" w:tplc="007AA8B4">
      <w:numFmt w:val="bullet"/>
      <w:lvlText w:val="•"/>
      <w:lvlJc w:val="left"/>
      <w:pPr>
        <w:ind w:left="7762" w:hanging="363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D"/>
    <w:rsid w:val="00194BB9"/>
    <w:rsid w:val="002F28AD"/>
    <w:rsid w:val="00346251"/>
    <w:rsid w:val="005B4A97"/>
    <w:rsid w:val="008B49CD"/>
    <w:rsid w:val="008F402D"/>
    <w:rsid w:val="00917EA5"/>
    <w:rsid w:val="00C406D2"/>
    <w:rsid w:val="00C52A25"/>
    <w:rsid w:val="00C818B9"/>
    <w:rsid w:val="00E632B5"/>
    <w:rsid w:val="00E94C3D"/>
    <w:rsid w:val="00E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184"/>
  <w15:chartTrackingRefBased/>
  <w15:docId w15:val="{AC08A028-B048-4F21-B54B-2375E9C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8F1C-4B70-48B1-8E88-C851C139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Schmidt</dc:creator>
  <cp:keywords/>
  <dc:description/>
  <cp:lastModifiedBy>Schmidt, Nadja (StMB)</cp:lastModifiedBy>
  <cp:revision>4</cp:revision>
  <dcterms:created xsi:type="dcterms:W3CDTF">2020-06-16T13:04:00Z</dcterms:created>
  <dcterms:modified xsi:type="dcterms:W3CDTF">2020-06-16T13:13:00Z</dcterms:modified>
</cp:coreProperties>
</file>